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CellSpacing w:w="15" w:type="dxa"/>
        <w:tblLook w:val="04A0" w:firstRow="1" w:lastRow="0" w:firstColumn="1" w:lastColumn="0" w:noHBand="0" w:noVBand="1"/>
      </w:tblPr>
      <w:tblGrid>
        <w:gridCol w:w="9369"/>
      </w:tblGrid>
      <w:tr w:rsidR="00C21029" w:rsidRPr="00C21029" w:rsidTr="006E4D15">
        <w:trPr>
          <w:trHeight w:val="2397"/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29" w:rsidRPr="00C21029" w:rsidRDefault="00C21029" w:rsidP="00C210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</w:pP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ACCOUNTING 460E</w:t>
            </w: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fldChar w:fldCharType="begin"/>
            </w: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instrText xml:space="preserve">PRIVATE </w:instrText>
            </w: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fldChar w:fldCharType="end"/>
            </w: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, TAXATION AND ETHICS, Spring 2017 (writing intensive)</w:t>
            </w:r>
          </w:p>
          <w:p w:rsidR="00C21029" w:rsidRPr="00C21029" w:rsidRDefault="00C21029" w:rsidP="00C21029">
            <w:pPr>
              <w:widowControl w:val="0"/>
              <w:tabs>
                <w:tab w:val="left" w:pos="576"/>
                <w:tab w:val="left" w:pos="1728"/>
                <w:tab w:val="left" w:pos="3168"/>
                <w:tab w:val="left" w:pos="648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</w:pPr>
            <w:r w:rsidRPr="00C21029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</w:rPr>
              <w:t xml:space="preserve">    Section 1: 9:00--10:45; Section 2: 11:00--12:45; and Section 3: 1:00--2:45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</w:rPr>
              <w:br/>
            </w: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  <w:t>Room:                  E-203</w:t>
            </w:r>
          </w:p>
          <w:p w:rsidR="00C21029" w:rsidRPr="00C21029" w:rsidRDefault="00C21029" w:rsidP="00C21029">
            <w:pPr>
              <w:widowControl w:val="0"/>
              <w:tabs>
                <w:tab w:val="left" w:pos="576"/>
                <w:tab w:val="left" w:pos="1728"/>
                <w:tab w:val="left" w:pos="3168"/>
                <w:tab w:val="left" w:pos="64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  <w:t>Instructor: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t xml:space="preserve"> 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tab/>
              <w:t>Prof. Tom Pearson (E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noBreakHyphen/>
              <w:t xml:space="preserve">Mail: </w:t>
            </w: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  <w:t>tpearson@hawaii.edu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t>)</w:t>
            </w:r>
          </w:p>
          <w:p w:rsidR="00C21029" w:rsidRPr="00C21029" w:rsidRDefault="00C21029" w:rsidP="00C21029">
            <w:pPr>
              <w:widowControl w:val="0"/>
              <w:tabs>
                <w:tab w:val="left" w:pos="576"/>
                <w:tab w:val="left" w:pos="1728"/>
                <w:tab w:val="left" w:pos="3168"/>
                <w:tab w:val="left" w:pos="64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  <w:t xml:space="preserve">Office:  </w:t>
            </w: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  <w:tab/>
            </w:r>
            <w:proofErr w:type="spellStart"/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  <w:lang w:eastAsia="zh-TW"/>
              </w:rPr>
              <w:t>Shidler</w:t>
            </w:r>
            <w:proofErr w:type="spellEnd"/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  <w:lang w:eastAsia="zh-TW"/>
              </w:rPr>
              <w:t xml:space="preserve"> College of Business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t xml:space="preserve"> - </w:t>
            </w:r>
            <w:proofErr w:type="spellStart"/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  <w:t>Shidler</w:t>
            </w:r>
            <w:proofErr w:type="spellEnd"/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  <w:t xml:space="preserve"> D-306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t xml:space="preserve"> (Tel: 956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noBreakHyphen/>
              <w:t>7591)</w:t>
            </w:r>
          </w:p>
          <w:p w:rsidR="00C21029" w:rsidRPr="00C21029" w:rsidRDefault="00C21029" w:rsidP="00C21029">
            <w:pPr>
              <w:widowControl w:val="0"/>
              <w:tabs>
                <w:tab w:val="left" w:pos="576"/>
                <w:tab w:val="left" w:pos="1728"/>
                <w:tab w:val="left" w:pos="3168"/>
                <w:tab w:val="left" w:pos="648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C21029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0"/>
              </w:rPr>
              <w:t>Office Hours: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t xml:space="preserve">  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  <w:tab/>
              <w:t>Wednesday and Thursday 5:00 --5:45 pm, after class, and by appointment</w:t>
            </w:r>
          </w:p>
        </w:tc>
      </w:tr>
    </w:tbl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C2102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COURSE MATERIALS</w:t>
      </w:r>
      <w:proofErr w:type="gramStart"/>
      <w:r w:rsidRPr="00C2102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:</w:t>
      </w:r>
      <w:proofErr w:type="gramEnd"/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br/>
        <w:t>1</w:t>
      </w:r>
      <w:r w:rsidRPr="00C21029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</w:rPr>
        <w:t xml:space="preserve">. </w:t>
      </w:r>
      <w:r w:rsidRPr="00C21029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0"/>
        </w:rPr>
        <w:t>Laptop computer with Internet access – needed for each class</w:t>
      </w:r>
    </w:p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t>2. Laulima.hawaii.edu (course website)</w:t>
      </w:r>
    </w:p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u w:val="single"/>
        </w:rPr>
      </w:pPr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t>3. Checkpoint DATABASE, available at library.manoa.hawaii.edu</w:t>
      </w:r>
    </w:p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snapToGrid w:val="0"/>
          <w:color w:val="222222"/>
          <w:sz w:val="24"/>
          <w:szCs w:val="20"/>
          <w:shd w:val="clear" w:color="auto" w:fill="FFFFFF"/>
        </w:rPr>
      </w:pPr>
      <w:r w:rsidRPr="00C21029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u w:val="single"/>
        </w:rPr>
        <w:t xml:space="preserve">4. </w:t>
      </w:r>
      <w:proofErr w:type="spellStart"/>
      <w:r w:rsidRPr="00C21029">
        <w:rPr>
          <w:rFonts w:ascii="Times New Roman" w:eastAsia="Times New Roman" w:hAnsi="Times New Roman" w:cs="Times New Roman"/>
          <w:snapToGrid w:val="0"/>
          <w:color w:val="222222"/>
          <w:sz w:val="24"/>
          <w:szCs w:val="20"/>
          <w:shd w:val="clear" w:color="auto" w:fill="FFFFFF"/>
        </w:rPr>
        <w:t>CyberText</w:t>
      </w:r>
      <w:proofErr w:type="spellEnd"/>
      <w:r w:rsidRPr="00C21029">
        <w:rPr>
          <w:rFonts w:ascii="Times New Roman" w:eastAsia="Times New Roman" w:hAnsi="Times New Roman" w:cs="Times New Roman"/>
          <w:snapToGrid w:val="0"/>
          <w:color w:val="222222"/>
          <w:sz w:val="24"/>
          <w:szCs w:val="20"/>
          <w:shd w:val="clear" w:color="auto" w:fill="FFFFFF"/>
        </w:rPr>
        <w:t xml:space="preserve"> practice set in tax (probably $</w:t>
      </w:r>
      <w:r w:rsidRPr="00C21029">
        <w:rPr>
          <w:rFonts w:ascii="Times New Roman" w:eastAsia="Times New Roman" w:hAnsi="Times New Roman" w:cs="Arial"/>
          <w:bCs/>
          <w:snapToGrid w:val="0"/>
          <w:color w:val="222222"/>
          <w:sz w:val="24"/>
          <w:szCs w:val="20"/>
          <w:shd w:val="clear" w:color="auto" w:fill="FFFFFF"/>
        </w:rPr>
        <w:t>17.99 per student)</w:t>
      </w:r>
    </w:p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br/>
      </w:r>
      <w:r w:rsidRPr="00C2102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COURSE DESCRIPTION </w:t>
      </w:r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t>(University Catalog Summary Modified)</w:t>
      </w:r>
      <w:proofErr w:type="gramStart"/>
      <w:r w:rsidRPr="00C2102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:</w:t>
      </w:r>
      <w:proofErr w:type="gramEnd"/>
      <w:r w:rsidRPr="00C2102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br/>
      </w:r>
      <w:bookmarkStart w:id="0" w:name="COURSE_OBJECTIVES"/>
      <w:bookmarkEnd w:id="0"/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This course provides in-depth electronic tax research, practice in issue identification, reading and analyzing primary authority, and communicating results.  Cases are used.  </w:t>
      </w:r>
    </w:p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2102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Prerequisites:</w:t>
      </w:r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ACC401 (or concurrent), no waiver. </w:t>
      </w:r>
    </w:p>
    <w:p w:rsidR="00C21029" w:rsidRPr="00C21029" w:rsidRDefault="00C21029" w:rsidP="00C21029">
      <w:pPr>
        <w:widowControl w:val="0"/>
        <w:tabs>
          <w:tab w:val="left" w:pos="-1440"/>
          <w:tab w:val="left" w:pos="-72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2102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Co-requisites:</w:t>
      </w:r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ACC460b</w:t>
      </w:r>
    </w:p>
    <w:p w:rsidR="00C21029" w:rsidRPr="00C21029" w:rsidRDefault="00C21029" w:rsidP="00C210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</w:pPr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t>COURSE OBJECTIVES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t xml:space="preserve">: 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br/>
      </w:r>
      <w:bookmarkStart w:id="1" w:name="TEACHING_METHODS"/>
      <w:bookmarkStart w:id="2" w:name="TIME_COMMITMENT"/>
      <w:bookmarkEnd w:id="1"/>
      <w:bookmarkEnd w:id="2"/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t xml:space="preserve">1. Developing skills in reading and analyzing primary authorities for comprehension. 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br/>
        <w:t>2. Providing practice in writing sophisticated issue statements.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br/>
        <w:t xml:space="preserve">3. Developing competence in locating and researching primary &amp; secondary authorities. 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br/>
        <w:t>4. Acquiring working knowledge of electronic resources for resolving complex issues.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br/>
        <w:t>5. Using the source and weight of authorities for creating logical, analytical reasoning.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br/>
        <w:t>6. Strengthening writing skills for client communications and research memos.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br/>
        <w:t>7. Understanding legal and ethical concerns in tax practice.</w:t>
      </w:r>
      <w:r w:rsidRPr="00C21029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br/>
        <w:t>8. Handling time pressure, similar to the outside working environment.</w:t>
      </w:r>
    </w:p>
    <w:p w:rsidR="00C21029" w:rsidRPr="00C21029" w:rsidRDefault="00C21029" w:rsidP="00C21029">
      <w:pPr>
        <w:tabs>
          <w:tab w:val="left" w:pos="936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029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  <w:t>TIME NEEDED</w:t>
      </w:r>
      <w:proofErr w:type="gramStart"/>
      <w:r w:rsidRPr="00C21029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  <w:t>:</w:t>
      </w:r>
      <w:proofErr w:type="gramEnd"/>
      <w:r w:rsidRPr="00C2102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br/>
      </w:r>
      <w:r w:rsidRPr="00C21029">
        <w:rPr>
          <w:rFonts w:ascii="Times New Roman" w:eastAsia="Calibri" w:hAnsi="Times New Roman" w:cs="Times New Roman"/>
          <w:color w:val="FF0000"/>
          <w:sz w:val="24"/>
          <w:szCs w:val="24"/>
        </w:rPr>
        <w:t>This course requires considerable effort outside of class. The work is challenging and valuable.</w:t>
      </w:r>
      <w:r w:rsidRPr="00C21029">
        <w:rPr>
          <w:rFonts w:ascii="Times New Roman" w:eastAsia="Calibri" w:hAnsi="Times New Roman" w:cs="Times New Roman"/>
          <w:color w:val="FF0000"/>
          <w:sz w:val="24"/>
          <w:szCs w:val="24"/>
        </w:rPr>
        <w:br/>
        <w:t>Take responsibility and speak to me, if you want to negotiate some alternative timing arrangement. One must complete all work to receive a passing grade in the course.</w:t>
      </w:r>
    </w:p>
    <w:p w:rsidR="00C21029" w:rsidRPr="00C21029" w:rsidRDefault="00C21029" w:rsidP="00C21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COURSE_GRADES"/>
      <w:bookmarkEnd w:id="3"/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COURSE GRADE GUIDELINES: </w:t>
      </w:r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This course uses </w:t>
      </w:r>
      <w:proofErr w:type="gramStart"/>
      <w:r w:rsidRPr="00C21029">
        <w:rPr>
          <w:rFonts w:ascii="Times New Roman" w:eastAsia="Calibri" w:hAnsi="Times New Roman" w:cs="Times New Roman"/>
          <w:sz w:val="24"/>
          <w:szCs w:val="24"/>
        </w:rPr>
        <w:t>a +/-</w:t>
      </w:r>
      <w:proofErr w:type="gramEnd"/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 grading system.  An A+ is possible only for the top student in the class, </w:t>
      </w:r>
      <w:r w:rsidRPr="00C21029">
        <w:rPr>
          <w:rFonts w:ascii="Times New Roman" w:eastAsia="Calibri" w:hAnsi="Times New Roman" w:cs="Times New Roman"/>
          <w:sz w:val="24"/>
          <w:szCs w:val="24"/>
        </w:rPr>
        <w:br/>
        <w:t xml:space="preserve">if 97% or higher score is achieved. </w:t>
      </w:r>
      <w:r w:rsidRPr="00C2102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One must have finished all the writing assignments required for ACC 460B and 460E in order to receive credit for this course.</w:t>
      </w:r>
    </w:p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zh-TW"/>
        </w:rPr>
      </w:pPr>
      <w:bookmarkStart w:id="4" w:name="POINTS_ASSIGNED"/>
      <w:bookmarkEnd w:id="4"/>
      <w:r w:rsidRPr="00C2102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br w:type="page"/>
      </w:r>
    </w:p>
    <w:p w:rsidR="00C21029" w:rsidRPr="00C21029" w:rsidRDefault="00C21029" w:rsidP="00C21029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0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TENTATIVE</w:t>
      </w:r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POINTS ASSIGNED FOR EACH COURSE ELEMENT: </w:t>
      </w:r>
    </w:p>
    <w:tbl>
      <w:tblPr>
        <w:tblW w:w="45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39"/>
        <w:gridCol w:w="3606"/>
      </w:tblGrid>
      <w:tr w:rsidR="00C21029" w:rsidRPr="00C21029" w:rsidTr="006E4D15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029" w:rsidRPr="00C21029" w:rsidRDefault="00C21029" w:rsidP="00C210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Points</w:t>
            </w:r>
          </w:p>
        </w:tc>
        <w:tc>
          <w:tcPr>
            <w:tcW w:w="3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029" w:rsidRPr="00C21029" w:rsidRDefault="00C21029" w:rsidP="00C210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Topic</w:t>
            </w:r>
          </w:p>
        </w:tc>
      </w:tr>
      <w:tr w:rsidR="00C21029" w:rsidRPr="00C21029" w:rsidTr="006E4D15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029" w:rsidRPr="00C21029" w:rsidRDefault="00C21029" w:rsidP="00C210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 </w:t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25</w:t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30</w:t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60</w:t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20</w:t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 10</w:t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10</w:t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20</w:t>
            </w:r>
          </w:p>
        </w:tc>
        <w:tc>
          <w:tcPr>
            <w:tcW w:w="3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029" w:rsidRPr="00C21029" w:rsidRDefault="00C21029" w:rsidP="00C210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>Tax research memo-1 - draft</w:t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Tax research memo-1 – final</w:t>
            </w:r>
            <w:r w:rsidRPr="00C21029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>Tax research memo -2</w:t>
            </w:r>
            <w:r w:rsidRPr="00C21029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r w:rsidRPr="00C21029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>Tax Return</w:t>
            </w:r>
            <w:r w:rsidRPr="00C21029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Class participation </w:t>
            </w:r>
            <w:r w:rsidRPr="00C21029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>Other homework</w:t>
            </w:r>
            <w:r w:rsidRPr="00C21029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Quiz </w:t>
            </w:r>
          </w:p>
        </w:tc>
      </w:tr>
      <w:tr w:rsidR="00C21029" w:rsidRPr="00C21029" w:rsidTr="006E4D15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029" w:rsidRPr="00C21029" w:rsidRDefault="00C21029" w:rsidP="00C210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029" w:rsidRPr="00C21029" w:rsidRDefault="00C21029" w:rsidP="00C210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eastAsia="Calibri" w:hAnsi="Times New Roman" w:cs="Times New Roman"/>
                <w:sz w:val="24"/>
                <w:szCs w:val="24"/>
              </w:rPr>
              <w:t>TOTAL MAXIMUM POINTS</w:t>
            </w:r>
          </w:p>
        </w:tc>
      </w:tr>
    </w:tbl>
    <w:p w:rsidR="00C21029" w:rsidRPr="00C21029" w:rsidRDefault="00C21029" w:rsidP="00C210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EXAMS"/>
      <w:bookmarkEnd w:id="5"/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EXAM: </w:t>
      </w:r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The exam is open book, open note, and completed on a computer with Internet access. </w:t>
      </w:r>
      <w:r w:rsidRPr="00C21029">
        <w:rPr>
          <w:rFonts w:ascii="Times New Roman" w:eastAsia="Calibri" w:hAnsi="Times New Roman" w:cs="Times New Roman"/>
          <w:sz w:val="24"/>
          <w:szCs w:val="24"/>
        </w:rPr>
        <w:br/>
        <w:t xml:space="preserve">Periodically, save your work, such as on the cloud. Do NOT rely on the </w:t>
      </w:r>
      <w:proofErr w:type="spellStart"/>
      <w:r w:rsidRPr="00C21029">
        <w:rPr>
          <w:rFonts w:ascii="Times New Roman" w:eastAsia="Calibri" w:hAnsi="Times New Roman" w:cs="Times New Roman"/>
          <w:sz w:val="24"/>
          <w:szCs w:val="24"/>
        </w:rPr>
        <w:t>Shidler</w:t>
      </w:r>
      <w:proofErr w:type="spellEnd"/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 computer desktop. The exam will have 6 questions, equally weighted (allocate 15 minutes per question). </w:t>
      </w:r>
      <w:r w:rsidRPr="00C21029">
        <w:rPr>
          <w:rFonts w:ascii="Times New Roman" w:eastAsia="Calibri" w:hAnsi="Times New Roman" w:cs="Times New Roman"/>
          <w:sz w:val="24"/>
          <w:szCs w:val="24"/>
        </w:rPr>
        <w:br/>
        <w:t xml:space="preserve">Most questions involve writing two paragraphs. Several questions require research. </w:t>
      </w:r>
    </w:p>
    <w:p w:rsidR="00C21029" w:rsidRPr="00C21029" w:rsidRDefault="00C21029" w:rsidP="00C210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6" w:name="RESEARCH_PAPERS"/>
      <w:bookmarkEnd w:id="6"/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QUIZ: </w:t>
      </w:r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The quiz is focused on basic professional knowledge for research and ethics: standard setters, sources of authorities, citations, hierarchies of authority, and database search techniques. </w:t>
      </w:r>
    </w:p>
    <w:p w:rsidR="00C21029" w:rsidRPr="00C21029" w:rsidRDefault="00C21029" w:rsidP="00C210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RESEARCH MEMOS AND REQUIRED WRITING INTENSIVE ASSIGNMENTS </w:t>
      </w:r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br/>
        <w:t>(40% OF COURSE GRADE)</w:t>
      </w:r>
      <w:proofErr w:type="gramStart"/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proofErr w:type="gramEnd"/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The writing is in addition to the writing completed in </w:t>
      </w:r>
      <w:proofErr w:type="spellStart"/>
      <w:r w:rsidRPr="00C21029">
        <w:rPr>
          <w:rFonts w:ascii="Times New Roman" w:eastAsia="Calibri" w:hAnsi="Times New Roman" w:cs="Times New Roman"/>
          <w:sz w:val="24"/>
          <w:szCs w:val="24"/>
        </w:rPr>
        <w:t>Acc</w:t>
      </w:r>
      <w:proofErr w:type="spellEnd"/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 460B.  </w:t>
      </w:r>
      <w:r w:rsidRPr="00C21029">
        <w:rPr>
          <w:rFonts w:ascii="Times New Roman" w:eastAsia="Calibri" w:hAnsi="Times New Roman" w:cs="Times New Roman"/>
          <w:color w:val="FF0000"/>
          <w:sz w:val="24"/>
          <w:szCs w:val="24"/>
        </w:rPr>
        <w:t>Each memo (and draft for Memo-1) will require at least four pages: (1) a one-page business cover-letter in a less technical style which emphasizes bottom line results and planning suggestions, (2) two pages single-spaced for substantively addressing each of the two problems (with a blank line between paragraphs), and (3) a one-page self-assessment of what you learned.</w:t>
      </w:r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 Submit these in one Microsoft word file with a maximum of seven pages (comments will get added and track changes </w:t>
      </w:r>
      <w:proofErr w:type="spellStart"/>
      <w:r w:rsidRPr="00C21029">
        <w:rPr>
          <w:rFonts w:ascii="Times New Roman" w:eastAsia="Calibri" w:hAnsi="Times New Roman" w:cs="Times New Roman"/>
          <w:sz w:val="24"/>
          <w:szCs w:val="24"/>
        </w:rPr>
        <w:t>maybe</w:t>
      </w:r>
      <w:proofErr w:type="spellEnd"/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 used). Please include your name in both the electronic file name and on the business letter page of the file. </w:t>
      </w:r>
    </w:p>
    <w:p w:rsidR="00C21029" w:rsidRPr="00C21029" w:rsidRDefault="00C21029" w:rsidP="00C210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0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MEMO GRADING: </w:t>
      </w:r>
      <w:r w:rsidRPr="00C21029">
        <w:rPr>
          <w:rFonts w:ascii="Times New Roman" w:eastAsia="Calibri" w:hAnsi="Times New Roman" w:cs="Times New Roman"/>
          <w:sz w:val="24"/>
          <w:szCs w:val="24"/>
        </w:rPr>
        <w:t xml:space="preserve">An ability to communicate effectively will affect the grade. </w:t>
      </w:r>
      <w:r w:rsidRPr="00C210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The </w:t>
      </w:r>
      <w:hyperlink r:id="rId5" w:history="1">
        <w:r w:rsidRPr="00C21029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</w:rPr>
          <w:t>AICPA</w:t>
        </w:r>
      </w:hyperlink>
      <w:r w:rsidRPr="00C210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's six characteristics of effective writing are: (1) cogent organization, (2) conciseness, (3) clarity, (4) use of </w:t>
      </w:r>
      <w:proofErr w:type="gramStart"/>
      <w:r w:rsidRPr="00C21029">
        <w:rPr>
          <w:rFonts w:ascii="Times New Roman" w:eastAsia="Calibri" w:hAnsi="Times New Roman" w:cs="Times New Roman"/>
          <w:color w:val="FF0000"/>
          <w:sz w:val="24"/>
          <w:szCs w:val="24"/>
        </w:rPr>
        <w:t>standard</w:t>
      </w:r>
      <w:proofErr w:type="gramEnd"/>
      <w:r w:rsidRPr="00C210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English, (5) responsiveness, and (6) appropriateness for the reader</w:t>
      </w:r>
      <w:r w:rsidRPr="00C21029">
        <w:rPr>
          <w:rFonts w:ascii="Times New Roman" w:eastAsia="Calibri" w:hAnsi="Times New Roman" w:cs="Times New Roman"/>
          <w:sz w:val="24"/>
          <w:szCs w:val="24"/>
        </w:rPr>
        <w:t>. Tax memos require using a tax database (Checkpoint) for research, such as to examine annotations and explanations to locate relevant cases or rulings.</w:t>
      </w:r>
    </w:p>
    <w:p w:rsidR="00C21029" w:rsidRPr="00C21029" w:rsidRDefault="00C21029" w:rsidP="00C21029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C21029">
        <w:rPr>
          <w:rFonts w:ascii="Times New Roman" w:eastAsia="Times New Roman" w:hAnsi="Times New Roman" w:cs="Times New Roman"/>
          <w:b/>
          <w:bCs/>
          <w:snapToGrid w:val="0"/>
          <w:color w:val="800080"/>
          <w:sz w:val="24"/>
          <w:szCs w:val="20"/>
          <w:u w:val="single"/>
        </w:rPr>
        <w:t>CLASS PARTICIPATION/ OTHER HOMEWORK</w:t>
      </w:r>
      <w:proofErr w:type="gramStart"/>
      <w:r w:rsidRPr="00C21029">
        <w:rPr>
          <w:rFonts w:ascii="Times New Roman" w:eastAsia="Times New Roman" w:hAnsi="Times New Roman" w:cs="Times New Roman"/>
          <w:b/>
          <w:bCs/>
          <w:snapToGrid w:val="0"/>
          <w:color w:val="800080"/>
          <w:sz w:val="24"/>
          <w:szCs w:val="20"/>
          <w:u w:val="single"/>
        </w:rPr>
        <w:t>:</w:t>
      </w:r>
      <w:proofErr w:type="gramEnd"/>
      <w:r w:rsidRPr="00C21029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br/>
        <w:t>Business and accounting firms have asked the SOA faculty to help make the students more assertive. Class participation points encourage assertiveness and good communication skills. </w:t>
      </w:r>
      <w:r w:rsidRPr="00C21029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br/>
        <w:t>The grading for in-class participation will use the following guidelines:</w:t>
      </w:r>
    </w:p>
    <w:tbl>
      <w:tblPr>
        <w:tblW w:w="90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</w:tblGrid>
      <w:tr w:rsidR="00C21029" w:rsidRPr="00C21029" w:rsidTr="006E4D15">
        <w:trPr>
          <w:trHeight w:val="858"/>
          <w:tblCellSpacing w:w="15" w:type="dxa"/>
        </w:trPr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029" w:rsidRPr="00C21029" w:rsidRDefault="00C21029" w:rsidP="00C2102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C2102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10 points = excellent job of volunteering in class and submitting good work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br/>
              <w:t xml:space="preserve">  8 points = satisfactory participation when called upon and submitting acceptable work</w:t>
            </w:r>
            <w:r w:rsidRPr="00C2102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br/>
              <w:t xml:space="preserve">  6 points = participation needs more work and a deficiency exists in some submitted work</w:t>
            </w:r>
          </w:p>
        </w:tc>
      </w:tr>
    </w:tbl>
    <w:tbl>
      <w:tblPr>
        <w:tblStyle w:val="TableGrid"/>
        <w:tblpPr w:leftFromText="180" w:rightFromText="180" w:vertAnchor="text" w:horzAnchor="margin" w:tblpY="-76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4500"/>
        <w:gridCol w:w="2284"/>
      </w:tblGrid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b/>
                <w:i/>
                <w:snapToGrid w:val="0"/>
                <w:color w:val="FF0000"/>
                <w:sz w:val="24"/>
              </w:rPr>
            </w:pPr>
            <w:bookmarkStart w:id="7" w:name="_GoBack"/>
            <w:bookmarkEnd w:id="7"/>
            <w:r w:rsidRPr="00C21029">
              <w:rPr>
                <w:b/>
                <w:i/>
                <w:snapToGrid w:val="0"/>
                <w:color w:val="FF0000"/>
                <w:sz w:val="24"/>
                <w:szCs w:val="28"/>
              </w:rPr>
              <w:lastRenderedPageBreak/>
              <w:t>Tuesday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ind w:left="-18"/>
              <w:jc w:val="center"/>
              <w:rPr>
                <w:b/>
                <w:i/>
                <w:snapToGrid w:val="0"/>
                <w:color w:val="FF0000"/>
                <w:sz w:val="24"/>
              </w:rPr>
            </w:pPr>
            <w:r w:rsidRPr="00C21029">
              <w:rPr>
                <w:b/>
                <w:i/>
                <w:snapToGrid w:val="0"/>
                <w:color w:val="FF0000"/>
                <w:sz w:val="24"/>
                <w:szCs w:val="28"/>
              </w:rPr>
              <w:t>SESSION</w:t>
            </w: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ind w:left="-18"/>
              <w:jc w:val="center"/>
              <w:rPr>
                <w:b/>
                <w:i/>
                <w:snapToGrid w:val="0"/>
                <w:color w:val="FF0000"/>
                <w:sz w:val="24"/>
                <w:szCs w:val="28"/>
              </w:rPr>
            </w:pPr>
            <w:r w:rsidRPr="00C21029">
              <w:rPr>
                <w:b/>
                <w:i/>
                <w:snapToGrid w:val="0"/>
                <w:color w:val="FF0000"/>
                <w:sz w:val="24"/>
                <w:szCs w:val="28"/>
              </w:rPr>
              <w:t>TOPIC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ind w:left="-18"/>
              <w:jc w:val="center"/>
              <w:rPr>
                <w:b/>
                <w:i/>
                <w:snapToGrid w:val="0"/>
                <w:color w:val="FF0000"/>
                <w:sz w:val="24"/>
                <w:szCs w:val="28"/>
              </w:rPr>
            </w:pPr>
            <w:r w:rsidRPr="00C21029">
              <w:rPr>
                <w:b/>
                <w:i/>
                <w:snapToGrid w:val="0"/>
                <w:color w:val="FF0000"/>
                <w:sz w:val="24"/>
                <w:szCs w:val="28"/>
              </w:rPr>
              <w:t>HOMEWORK DUE</w:t>
            </w:r>
          </w:p>
        </w:tc>
      </w:tr>
      <w:tr w:rsidR="00C21029" w:rsidRPr="00C21029" w:rsidTr="00C21029">
        <w:trPr>
          <w:trHeight w:val="601"/>
        </w:trPr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3/7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Week 1</w:t>
            </w:r>
          </w:p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 xml:space="preserve">Discuss Tax Research </w:t>
            </w:r>
            <w:r w:rsidRPr="00C21029">
              <w:rPr>
                <w:snapToGrid w:val="0"/>
                <w:sz w:val="24"/>
              </w:rPr>
              <w:br/>
              <w:t>using the Code and Regulations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</w:p>
        </w:tc>
      </w:tr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3/14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Week 2</w:t>
            </w:r>
          </w:p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 xml:space="preserve">Issue Spotting, Memo Writing, </w:t>
            </w:r>
            <w:r w:rsidRPr="00C21029">
              <w:rPr>
                <w:snapToGrid w:val="0"/>
                <w:sz w:val="24"/>
              </w:rPr>
              <w:br/>
              <w:t>and Client Letter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 xml:space="preserve">Initial Research </w:t>
            </w:r>
            <w:r w:rsidRPr="00C21029">
              <w:rPr>
                <w:snapToGrid w:val="0"/>
                <w:sz w:val="24"/>
              </w:rPr>
              <w:br/>
              <w:t>Due for Memo 1</w:t>
            </w:r>
          </w:p>
        </w:tc>
      </w:tr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3/21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Week 3</w:t>
            </w:r>
          </w:p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 xml:space="preserve">Adding a Cover Letter and </w:t>
            </w:r>
            <w:r w:rsidRPr="00C21029">
              <w:rPr>
                <w:snapToGrid w:val="0"/>
                <w:sz w:val="24"/>
              </w:rPr>
              <w:br/>
              <w:t>case law research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b/>
                <w:snapToGrid w:val="0"/>
                <w:sz w:val="24"/>
              </w:rPr>
            </w:pPr>
            <w:r w:rsidRPr="00C21029">
              <w:rPr>
                <w:b/>
                <w:snapToGrid w:val="0"/>
                <w:sz w:val="24"/>
              </w:rPr>
              <w:t>Memo 1 Rough Draft Due</w:t>
            </w:r>
          </w:p>
        </w:tc>
      </w:tr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4/4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Week 4</w:t>
            </w: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 xml:space="preserve">Revenue Rulings and Using a </w:t>
            </w:r>
            <w:proofErr w:type="spellStart"/>
            <w:r w:rsidRPr="00C21029">
              <w:rPr>
                <w:snapToGrid w:val="0"/>
                <w:sz w:val="24"/>
              </w:rPr>
              <w:t>Citator</w:t>
            </w:r>
            <w:proofErr w:type="spellEnd"/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TBE</w:t>
            </w:r>
          </w:p>
        </w:tc>
      </w:tr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4/11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Week 5</w:t>
            </w: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Probable Guest Speaker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b/>
                <w:snapToGrid w:val="0"/>
                <w:sz w:val="24"/>
              </w:rPr>
            </w:pPr>
            <w:r w:rsidRPr="00C21029">
              <w:rPr>
                <w:b/>
                <w:snapToGrid w:val="0"/>
                <w:sz w:val="24"/>
              </w:rPr>
              <w:t xml:space="preserve">Memo 1 Due </w:t>
            </w:r>
          </w:p>
        </w:tc>
      </w:tr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4/18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Week 6</w:t>
            </w: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 xml:space="preserve">Completing Tax Returns, </w:t>
            </w:r>
            <w:r w:rsidRPr="00C21029">
              <w:rPr>
                <w:snapToGrid w:val="0"/>
                <w:sz w:val="24"/>
              </w:rPr>
              <w:br/>
              <w:t>Professional Work, and Penalties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Tax Return Due</w:t>
            </w:r>
          </w:p>
        </w:tc>
      </w:tr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4/25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Week 7</w:t>
            </w: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QUIZ and Start Review for Final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b/>
                <w:snapToGrid w:val="0"/>
                <w:sz w:val="24"/>
              </w:rPr>
            </w:pPr>
            <w:r w:rsidRPr="00C21029">
              <w:rPr>
                <w:b/>
                <w:snapToGrid w:val="0"/>
                <w:sz w:val="24"/>
              </w:rPr>
              <w:t>Case</w:t>
            </w:r>
          </w:p>
        </w:tc>
      </w:tr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5/2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>Week 8</w:t>
            </w: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  <w:r w:rsidRPr="00C21029">
              <w:rPr>
                <w:snapToGrid w:val="0"/>
                <w:sz w:val="24"/>
              </w:rPr>
              <w:t xml:space="preserve">Practice for Final Exam and </w:t>
            </w:r>
            <w:r w:rsidRPr="00C21029">
              <w:rPr>
                <w:snapToGrid w:val="0"/>
                <w:sz w:val="24"/>
              </w:rPr>
              <w:br/>
              <w:t>Handling New Types of Projects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b/>
                <w:snapToGrid w:val="0"/>
                <w:sz w:val="24"/>
              </w:rPr>
            </w:pPr>
            <w:r w:rsidRPr="00C21029">
              <w:rPr>
                <w:b/>
                <w:snapToGrid w:val="0"/>
                <w:sz w:val="24"/>
              </w:rPr>
              <w:t xml:space="preserve">Memo 2 Due </w:t>
            </w:r>
          </w:p>
        </w:tc>
      </w:tr>
      <w:tr w:rsidR="00C21029" w:rsidRPr="00C21029" w:rsidTr="00C21029">
        <w:tc>
          <w:tcPr>
            <w:tcW w:w="1278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  <w:highlight w:val="yellow"/>
              </w:rPr>
            </w:pPr>
            <w:r w:rsidRPr="00C21029">
              <w:rPr>
                <w:snapToGrid w:val="0"/>
                <w:sz w:val="24"/>
                <w:highlight w:val="yellow"/>
              </w:rPr>
              <w:t xml:space="preserve">5/11 </w:t>
            </w:r>
            <w:r w:rsidRPr="00C21029">
              <w:rPr>
                <w:b/>
                <w:snapToGrid w:val="0"/>
                <w:sz w:val="24"/>
                <w:highlight w:val="yellow"/>
              </w:rPr>
              <w:t>Thursday</w:t>
            </w:r>
          </w:p>
        </w:tc>
        <w:tc>
          <w:tcPr>
            <w:tcW w:w="1260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  <w:highlight w:val="yellow"/>
              </w:rPr>
            </w:pPr>
            <w:r w:rsidRPr="00C21029">
              <w:rPr>
                <w:snapToGrid w:val="0"/>
                <w:sz w:val="24"/>
                <w:highlight w:val="yellow"/>
              </w:rPr>
              <w:t>Week 9</w:t>
            </w:r>
          </w:p>
        </w:tc>
        <w:tc>
          <w:tcPr>
            <w:tcW w:w="4500" w:type="dxa"/>
          </w:tcPr>
          <w:p w:rsidR="00C21029" w:rsidRPr="00C21029" w:rsidRDefault="00C21029" w:rsidP="00C21029">
            <w:pPr>
              <w:widowControl w:val="0"/>
              <w:rPr>
                <w:b/>
                <w:snapToGrid w:val="0"/>
                <w:sz w:val="24"/>
                <w:highlight w:val="yellow"/>
              </w:rPr>
            </w:pPr>
            <w:r w:rsidRPr="00C21029">
              <w:rPr>
                <w:b/>
                <w:snapToGrid w:val="0"/>
                <w:sz w:val="24"/>
                <w:highlight w:val="yellow"/>
              </w:rPr>
              <w:t>EXAM at 2:15-4:15</w:t>
            </w:r>
          </w:p>
        </w:tc>
        <w:tc>
          <w:tcPr>
            <w:tcW w:w="2284" w:type="dxa"/>
          </w:tcPr>
          <w:p w:rsidR="00C21029" w:rsidRPr="00C21029" w:rsidRDefault="00C21029" w:rsidP="00C21029">
            <w:pPr>
              <w:widowControl w:val="0"/>
              <w:rPr>
                <w:snapToGrid w:val="0"/>
                <w:sz w:val="24"/>
              </w:rPr>
            </w:pPr>
          </w:p>
        </w:tc>
      </w:tr>
    </w:tbl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C21029">
        <w:rPr>
          <w:rFonts w:ascii="Times New Roman" w:eastAsia="Times New Roman" w:hAnsi="Times New Roman" w:cs="Times New Roman"/>
          <w:snapToGrid w:val="0"/>
          <w:sz w:val="24"/>
          <w:szCs w:val="20"/>
        </w:rPr>
        <w:br/>
      </w:r>
      <w:r w:rsidRPr="00C21029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br w:type="page"/>
      </w:r>
    </w:p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C21029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lastRenderedPageBreak/>
        <w:t>TENTATIVE SCHEDULE for ALL 460E SECTIONS (2</w:t>
      </w:r>
      <w:r w:rsidRPr="00C21029">
        <w:rPr>
          <w:rFonts w:ascii="Times New Roman" w:eastAsia="Times New Roman" w:hAnsi="Times New Roman" w:cs="Times New Roman"/>
          <w:b/>
          <w:snapToGrid w:val="0"/>
          <w:sz w:val="24"/>
          <w:szCs w:val="28"/>
          <w:vertAlign w:val="superscript"/>
        </w:rPr>
        <w:t>nd</w:t>
      </w:r>
      <w:r w:rsidRPr="00C21029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 half of semester)</w:t>
      </w: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C21029" w:rsidRPr="00C21029" w:rsidRDefault="00C21029" w:rsidP="00C210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D6933" w:rsidRDefault="00CD6933"/>
    <w:sectPr w:rsidR="00CD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9"/>
    <w:rsid w:val="00C21029"/>
    <w:rsid w:val="00C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cp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Office 1</dc:creator>
  <cp:lastModifiedBy>SOA Office 1</cp:lastModifiedBy>
  <cp:revision>1</cp:revision>
  <dcterms:created xsi:type="dcterms:W3CDTF">2016-12-12T22:10:00Z</dcterms:created>
  <dcterms:modified xsi:type="dcterms:W3CDTF">2016-12-12T22:11:00Z</dcterms:modified>
</cp:coreProperties>
</file>