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Auditing, AIS, Skills, and Tax Subcommittee meeting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Started at 1:30 p.m.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Concluded: 2:35 p.m.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787622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041CD4" w:rsidRP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Attendees: Shirley Daniel, Michael Dell, Liming Guan,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Jee-Hae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Lim, Thomas Pearson, Hamid Pourjalali, Young,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Xu, and Jian Zhou</w:t>
      </w:r>
    </w:p>
    <w:p w:rsidR="00041CD4" w:rsidRPr="00787622" w:rsidRDefault="00041CD4" w:rsidP="00041CD4">
      <w:pPr>
        <w:pStyle w:val="NormalWeb"/>
        <w:spacing w:before="240" w:beforeAutospacing="0" w:after="0" w:afterAutospacing="0"/>
      </w:pPr>
      <w:r w:rsidRPr="00787622">
        <w:t xml:space="preserve">The committee considered Data Analytics offering </w:t>
      </w:r>
      <w:r w:rsidR="00AA1656" w:rsidRPr="00787622">
        <w:t>and suggested the following:</w:t>
      </w:r>
    </w:p>
    <w:p w:rsidR="00AA1656" w:rsidRPr="00787622" w:rsidRDefault="00AA1656" w:rsidP="00AA1656">
      <w:pPr>
        <w:pStyle w:val="m643894669044279559msolistparagraph"/>
        <w:shd w:val="clear" w:color="auto" w:fill="FFFFFF"/>
        <w:spacing w:before="0" w:beforeAutospacing="0" w:after="0" w:afterAutospacing="0" w:line="233" w:lineRule="atLeast"/>
        <w:ind w:left="720"/>
      </w:pPr>
      <w:r w:rsidRPr="00787622">
        <w:t>·       </w:t>
      </w:r>
      <w:r w:rsidRPr="00787622">
        <w:rPr>
          <w:lang w:val="en-CA"/>
        </w:rPr>
        <w:t>ACC619: </w:t>
      </w:r>
      <w:r w:rsidRPr="00787622">
        <w:t>AIS contents include automated aspects, IT governance, risk assessment, IT operations and controls, security, business continuity and change management.   </w:t>
      </w:r>
    </w:p>
    <w:p w:rsidR="00AA1656" w:rsidRPr="00787622" w:rsidRDefault="00AA1656" w:rsidP="00AA1656">
      <w:pPr>
        <w:pStyle w:val="m643894669044279559msolistparagraph"/>
        <w:shd w:val="clear" w:color="auto" w:fill="FFFFFF"/>
        <w:spacing w:before="0" w:beforeAutospacing="0" w:after="160" w:afterAutospacing="0" w:line="233" w:lineRule="atLeast"/>
        <w:ind w:left="720"/>
      </w:pPr>
      <w:r w:rsidRPr="00787622">
        <w:t>·       </w:t>
      </w:r>
      <w:r w:rsidRPr="00787622">
        <w:rPr>
          <w:lang w:val="en-CA"/>
        </w:rPr>
        <w:t>ACC649: the newly created course with a broader concept of “analytics” emphasis for accounting and business, such as audit data analytics, managerial analytics, financial statement analytics, and tax analytics.</w:t>
      </w:r>
    </w:p>
    <w:p w:rsidR="00041CD4" w:rsidRPr="00787622" w:rsidRDefault="00041CD4" w:rsidP="00041CD4">
      <w:pPr>
        <w:pStyle w:val="NormalWeb"/>
        <w:spacing w:before="240" w:beforeAutospacing="0" w:after="0" w:afterAutospacing="0"/>
      </w:pPr>
    </w:p>
    <w:p w:rsidR="00041CD4" w:rsidRPr="00787622" w:rsidRDefault="00AA1656" w:rsidP="00041CD4">
      <w:pPr>
        <w:pStyle w:val="NormalWeb"/>
        <w:spacing w:before="240" w:beforeAutospacing="0" w:after="0" w:afterAutospacing="0"/>
      </w:pPr>
      <w:r w:rsidRPr="00787622">
        <w:t>Bond rating coverage</w:t>
      </w:r>
      <w:r w:rsidR="00787622">
        <w:t>:</w:t>
      </w:r>
      <w:r w:rsidRPr="00787622">
        <w:t xml:space="preserve"> after consideration of BUS 314 (Business Finance) and limitation on the number of elective courses, the committee suggested introductory coverage of Bond rating at </w:t>
      </w:r>
      <w:proofErr w:type="spellStart"/>
      <w:r w:rsidRPr="00787622">
        <w:t>Acc</w:t>
      </w:r>
      <w:proofErr w:type="spellEnd"/>
      <w:r w:rsidRPr="00787622">
        <w:t xml:space="preserve"> 321 and </w:t>
      </w:r>
      <w:proofErr w:type="spellStart"/>
      <w:r w:rsidRPr="00787622">
        <w:t>Acc</w:t>
      </w:r>
      <w:proofErr w:type="spellEnd"/>
      <w:r w:rsidRPr="00787622">
        <w:t xml:space="preserve"> 323.</w:t>
      </w:r>
    </w:p>
    <w:p w:rsidR="00AA1656" w:rsidRPr="00AA1656" w:rsidRDefault="00AA1656" w:rsidP="00AA165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Pourjalali reviewed Travel Industry Management graduate level courses.  The only course that could be relevant to </w:t>
      </w:r>
      <w:proofErr w:type="spellStart"/>
      <w:r w:rsidRPr="00787622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(beyond the TIM accounting courses) </w:t>
      </w:r>
      <w:proofErr w:type="gramStart"/>
      <w:r w:rsidRPr="00787622">
        <w:rPr>
          <w:rFonts w:ascii="Times New Roman" w:eastAsia="Times New Roman" w:hAnsi="Times New Roman" w:cs="Times New Roman"/>
          <w:sz w:val="24"/>
          <w:szCs w:val="24"/>
        </w:rPr>
        <w:t>is:</w:t>
      </w:r>
      <w:proofErr w:type="gram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 ITM 640 Financial management for the Travel Industry (3 credits). The course covers financial analysis of industries related to travel. </w:t>
      </w: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Because of low </w:t>
      </w:r>
      <w:r w:rsidRPr="00787622">
        <w:rPr>
          <w:rFonts w:ascii="Times New Roman" w:eastAsia="Times New Roman" w:hAnsi="Times New Roman" w:cs="Times New Roman"/>
          <w:sz w:val="24"/>
          <w:szCs w:val="24"/>
        </w:rPr>
        <w:t>enrollment, TIM has not offered this course regularly (not during 2020-2021 school year).</w:t>
      </w:r>
    </w:p>
    <w:p w:rsidR="00041CD4" w:rsidRPr="00787622" w:rsidRDefault="00CF3FF2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It was suggested that a group of </w:t>
      </w:r>
      <w:proofErr w:type="gramStart"/>
      <w:r w:rsidRPr="0078762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or 3 faculty members from the SOA meet with a group of two or three faculty members at the Law school to see if there is any synergy between the two units in tax courses.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On managerial coverage most faculty suggest that we do not need a managerial course</w:t>
      </w:r>
      <w:r w:rsidR="00CF3FF2" w:rsidRPr="0078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add the term “ethics” in “law for accountants” and reduce the credit hours to </w:t>
      </w:r>
      <w:proofErr w:type="gramStart"/>
      <w:r w:rsidRPr="00041CD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4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shorten Corporate Governance </w:t>
      </w:r>
      <w:proofErr w:type="gramStart"/>
      <w:r w:rsidRPr="00041CD4">
        <w:rPr>
          <w:rFonts w:ascii="Times New Roman" w:eastAsia="Times New Roman" w:hAnsi="Times New Roman" w:cs="Times New Roman"/>
          <w:sz w:val="24"/>
          <w:szCs w:val="24"/>
        </w:rPr>
        <w:t>to less credit</w:t>
      </w:r>
      <w:proofErr w:type="gramEnd"/>
      <w:r w:rsidR="00CF3FF2" w:rsidRPr="00787622">
        <w:rPr>
          <w:rFonts w:ascii="Times New Roman" w:eastAsia="Times New Roman" w:hAnsi="Times New Roman" w:cs="Times New Roman"/>
          <w:sz w:val="24"/>
          <w:szCs w:val="24"/>
        </w:rPr>
        <w:t xml:space="preserve"> (one credit)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two or three credits may attract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students (e.g., fraud examination and forensic accounting). One credit may be better to provide more opportunities for students.</w:t>
      </w:r>
    </w:p>
    <w:p w:rsid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219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Suggestion: Faculty to read new CPA exam blueprint before the next faculty meeting. </w:t>
      </w:r>
    </w:p>
    <w:p w:rsidR="00201219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219" w:rsidRPr="00041CD4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Suggestion: Data Analytics cover the program used in practice. </w:t>
      </w:r>
      <w:bookmarkStart w:id="0" w:name="_GoBack"/>
      <w:bookmarkEnd w:id="0"/>
    </w:p>
    <w:p w:rsidR="00201219" w:rsidRDefault="00201219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lastRenderedPageBreak/>
        <w:t>Faculty supported the following: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</w:t>
      </w:r>
      <w:proofErr w:type="spellStart"/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MAcc</w:t>
      </w:r>
      <w:proofErr w:type="spellEnd"/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Accounting Courses (17 credits)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407 Taxation of Business Entities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460B and E- Accounting Capstone (2, 1 credit per alpha)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415 Advanced Financial Accounting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616 Accounting Theory and Development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625 Accounting and Tax Research(3)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648 Financial Statement Analysis (1)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 ACC 660 Analysis and Decision-making (2)</w:t>
      </w:r>
    </w:p>
    <w:p w:rsidR="00041CD4" w:rsidRPr="00041CD4" w:rsidRDefault="00041CD4" w:rsidP="00041CD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Elective Accounting courses, three of the following (7 credits)</w:t>
      </w:r>
    </w:p>
    <w:p w:rsidR="00041CD4" w:rsidRPr="00041CD4" w:rsidRDefault="00041CD4" w:rsidP="0004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Students can take any 400-600 level accounting course except those courses used to fulfill foundational or core requirements. No more than four credits of additional elective courses may be from the 400-level.  </w:t>
      </w:r>
    </w:p>
    <w:p w:rsidR="004427E2" w:rsidRPr="00041CD4" w:rsidRDefault="004427E2">
      <w:pPr>
        <w:rPr>
          <w:rFonts w:ascii="Arial" w:hAnsi="Arial" w:cs="Arial"/>
          <w:sz w:val="20"/>
          <w:szCs w:val="20"/>
        </w:rPr>
      </w:pPr>
    </w:p>
    <w:sectPr w:rsidR="004427E2" w:rsidRPr="0004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87F"/>
    <w:multiLevelType w:val="multilevel"/>
    <w:tmpl w:val="39E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4"/>
    <w:rsid w:val="00041CD4"/>
    <w:rsid w:val="00201219"/>
    <w:rsid w:val="004427E2"/>
    <w:rsid w:val="00787622"/>
    <w:rsid w:val="00AA1656"/>
    <w:rsid w:val="00C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486"/>
  <w15:chartTrackingRefBased/>
  <w15:docId w15:val="{306C0EB3-FCFB-4E1C-B674-9FF5117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3894669044279559msolistparagraph">
    <w:name w:val="m_643894669044279559msolistparagraph"/>
    <w:basedOn w:val="Normal"/>
    <w:rsid w:val="00A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16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3</cp:revision>
  <dcterms:created xsi:type="dcterms:W3CDTF">2020-11-24T00:35:00Z</dcterms:created>
  <dcterms:modified xsi:type="dcterms:W3CDTF">2020-11-24T01:03:00Z</dcterms:modified>
</cp:coreProperties>
</file>